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3F" w:rsidRDefault="00AE2D3F"/>
    <w:p w:rsidR="00B8143F" w:rsidRPr="004123E3" w:rsidRDefault="00AF0ABD">
      <w:pPr>
        <w:rPr>
          <w:i/>
        </w:rPr>
      </w:pPr>
      <w:r>
        <w:rPr>
          <w:i/>
        </w:rPr>
        <w:t>Christiane Bundschuh-Schramm</w:t>
      </w:r>
    </w:p>
    <w:p w:rsidR="00B8143F" w:rsidRPr="00B8143F" w:rsidRDefault="00B8143F">
      <w:pPr>
        <w:rPr>
          <w:b/>
        </w:rPr>
      </w:pPr>
    </w:p>
    <w:p w:rsidR="00B8143F" w:rsidRDefault="00B8143F"/>
    <w:p w:rsidR="00AE2D3F" w:rsidRPr="00B8143F" w:rsidRDefault="00AE2D3F">
      <w:pPr>
        <w:rPr>
          <w:b/>
          <w:sz w:val="32"/>
          <w:szCs w:val="32"/>
        </w:rPr>
      </w:pPr>
      <w:r w:rsidRPr="00B8143F">
        <w:rPr>
          <w:b/>
          <w:sz w:val="32"/>
          <w:szCs w:val="32"/>
        </w:rPr>
        <w:t>Thema</w:t>
      </w:r>
      <w:r w:rsidR="00C721FB">
        <w:rPr>
          <w:b/>
          <w:sz w:val="32"/>
          <w:szCs w:val="32"/>
        </w:rPr>
        <w:t xml:space="preserve"> Sozialraum- und Quartierspastoral. Eine erste Annäherung</w:t>
      </w:r>
    </w:p>
    <w:p w:rsidR="00AE2D3F" w:rsidRDefault="00AE2D3F"/>
    <w:p w:rsidR="00AE2D3F" w:rsidRDefault="00AE2D3F"/>
    <w:p w:rsidR="00AE2D3F" w:rsidRPr="00B8143F" w:rsidRDefault="00C721FB">
      <w:pPr>
        <w:rPr>
          <w:b/>
        </w:rPr>
      </w:pPr>
      <w:r>
        <w:rPr>
          <w:b/>
        </w:rPr>
        <w:t>Zuordnung zu Schwerpunkt 3 zur vernetzten Diakonie</w:t>
      </w:r>
    </w:p>
    <w:p w:rsidR="00AE2D3F" w:rsidRDefault="00AE2D3F"/>
    <w:p w:rsidR="0079502E" w:rsidRDefault="004123E3">
      <w:r>
        <w:t>Einsatzmöglichkeit:</w:t>
      </w:r>
    </w:p>
    <w:p w:rsidR="00AE2D3F" w:rsidRDefault="00C721FB">
      <w:r>
        <w:t xml:space="preserve">In Gremien, Kreisen und Veranstaltungen, in denen man über ein Engagement in der Sozialraum- oder Quartierspastoral nachdenkt oder sich einfach einmal informieren will. </w:t>
      </w:r>
    </w:p>
    <w:p w:rsidR="00320CA5" w:rsidRDefault="00320CA5"/>
    <w:p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:rsidTr="00B8143F">
        <w:tc>
          <w:tcPr>
            <w:tcW w:w="9920" w:type="dxa"/>
            <w:gridSpan w:val="3"/>
          </w:tcPr>
          <w:p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:rsidR="00B8143F" w:rsidRPr="00C721FB" w:rsidRDefault="00C721FB" w:rsidP="00B8143F">
            <w:pPr>
              <w:pStyle w:val="Listenabsatz"/>
              <w:numPr>
                <w:ilvl w:val="0"/>
                <w:numId w:val="2"/>
              </w:numPr>
            </w:pPr>
            <w:r w:rsidRPr="00C721FB">
              <w:t xml:space="preserve">Erfahren, was man unter Sozialraum, Quartier, </w:t>
            </w:r>
            <w:r w:rsidR="007339F0">
              <w:t xml:space="preserve">Sozialraumorientierung, </w:t>
            </w:r>
            <w:r w:rsidRPr="00C721FB">
              <w:t>Sozialraumpastoral und Quartierspastoral versteht</w:t>
            </w:r>
          </w:p>
          <w:p w:rsidR="00C721FB" w:rsidRPr="00C721FB" w:rsidRDefault="00C721FB" w:rsidP="00B8143F">
            <w:pPr>
              <w:pStyle w:val="Listenabsatz"/>
              <w:numPr>
                <w:ilvl w:val="0"/>
                <w:numId w:val="2"/>
              </w:numPr>
            </w:pPr>
            <w:r w:rsidRPr="00C721FB">
              <w:t>Ausloten, inwieweit man sich in diesem Bereich bereits engagiert oder engagieren will</w:t>
            </w:r>
          </w:p>
          <w:p w:rsidR="00C721FB" w:rsidRPr="00B8143F" w:rsidRDefault="00C721FB" w:rsidP="00B8143F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C721FB">
              <w:t>Information und Wissen sammeln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:rsidR="00AE2D3F" w:rsidRDefault="00AE2D3F"/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:rsidR="00AE2D3F" w:rsidRDefault="00C721FB" w:rsidP="00AE2D3F">
            <w:pPr>
              <w:pStyle w:val="Listenabsatz"/>
              <w:numPr>
                <w:ilvl w:val="0"/>
                <w:numId w:val="1"/>
              </w:numPr>
            </w:pPr>
            <w:r>
              <w:t>Begriffe auf A6-</w:t>
            </w:r>
            <w:r w:rsidR="00AF0ABD">
              <w:t xml:space="preserve">Karten (siehe Datei Texte für die </w:t>
            </w:r>
            <w:proofErr w:type="spellStart"/>
            <w:r w:rsidR="00AF0ABD">
              <w:t>Bergiffkarten</w:t>
            </w:r>
            <w:proofErr w:type="spellEnd"/>
            <w:r w:rsidR="00AF0ABD">
              <w:t>)</w:t>
            </w:r>
          </w:p>
          <w:p w:rsidR="00C721FB" w:rsidRDefault="00C721FB" w:rsidP="00AE2D3F">
            <w:pPr>
              <w:pStyle w:val="Listenabsatz"/>
              <w:numPr>
                <w:ilvl w:val="0"/>
                <w:numId w:val="1"/>
              </w:numPr>
            </w:pPr>
            <w:r>
              <w:t xml:space="preserve">DinA5-Karte zu den Big </w:t>
            </w:r>
            <w:proofErr w:type="spellStart"/>
            <w:r>
              <w:t>five</w:t>
            </w:r>
            <w:proofErr w:type="spellEnd"/>
            <w:r>
              <w:t xml:space="preserve"> im Quartier</w:t>
            </w:r>
            <w:r w:rsidR="00AF0ABD">
              <w:t xml:space="preserve"> (siehe Datei 5 Handlungsorientierungen)</w:t>
            </w:r>
          </w:p>
          <w:p w:rsidR="00C721FB" w:rsidRDefault="00C721FB" w:rsidP="00AE2D3F">
            <w:pPr>
              <w:pStyle w:val="Listenabsatz"/>
              <w:numPr>
                <w:ilvl w:val="0"/>
                <w:numId w:val="1"/>
              </w:numPr>
            </w:pPr>
            <w:r>
              <w:t>DinA5 – große Moderationskarten zum Kleben</w:t>
            </w:r>
          </w:p>
          <w:p w:rsidR="00C721FB" w:rsidRDefault="00C721FB" w:rsidP="00AE2D3F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FlippChart</w:t>
            </w:r>
            <w:proofErr w:type="spellEnd"/>
            <w:r>
              <w:t xml:space="preserve"> und Stifte </w:t>
            </w:r>
          </w:p>
          <w:p w:rsidR="00B50CDE" w:rsidRDefault="00B50CDE" w:rsidP="00AE2D3F">
            <w:pPr>
              <w:pStyle w:val="Listenabsatz"/>
              <w:numPr>
                <w:ilvl w:val="0"/>
                <w:numId w:val="1"/>
              </w:numPr>
            </w:pPr>
            <w:r>
              <w:t xml:space="preserve">Evtl. </w:t>
            </w:r>
            <w:proofErr w:type="spellStart"/>
            <w:r>
              <w:t>Beamer</w:t>
            </w:r>
            <w:proofErr w:type="spellEnd"/>
            <w:r>
              <w:t>, Laptop und Folie</w:t>
            </w:r>
          </w:p>
        </w:tc>
      </w:tr>
      <w:tr w:rsidR="00AE2D3F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:rsidR="00AE2D3F" w:rsidRDefault="00B50CDE" w:rsidP="00C721FB">
            <w:pPr>
              <w:pStyle w:val="Listenabsatz"/>
              <w:numPr>
                <w:ilvl w:val="0"/>
                <w:numId w:val="3"/>
              </w:numPr>
            </w:pPr>
            <w:r>
              <w:t>9</w:t>
            </w:r>
            <w:r w:rsidR="00C721FB">
              <w:t>o min</w:t>
            </w:r>
          </w:p>
        </w:tc>
      </w:tr>
      <w:tr w:rsidR="00B8143F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:rsidR="00B8143F" w:rsidRDefault="00B8143F"/>
        </w:tc>
      </w:tr>
      <w:tr w:rsidR="00AE2D3F" w:rsidRPr="00B8143F" w:rsidTr="00B8143F">
        <w:tc>
          <w:tcPr>
            <w:tcW w:w="1928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:rsidTr="00B8143F">
        <w:tc>
          <w:tcPr>
            <w:tcW w:w="1928" w:type="dxa"/>
          </w:tcPr>
          <w:p w:rsidR="00AE2D3F" w:rsidRDefault="003865BE" w:rsidP="000137B4">
            <w:r>
              <w:t>20 min</w:t>
            </w:r>
          </w:p>
          <w:p w:rsidR="003865BE" w:rsidRDefault="003865BE" w:rsidP="000137B4"/>
          <w:p w:rsidR="003865BE" w:rsidRDefault="003865BE" w:rsidP="000137B4"/>
          <w:p w:rsidR="003865BE" w:rsidRDefault="003865BE" w:rsidP="000137B4"/>
          <w:p w:rsidR="003865BE" w:rsidRDefault="003865BE" w:rsidP="000137B4"/>
          <w:p w:rsidR="003865BE" w:rsidRDefault="003865BE" w:rsidP="000137B4"/>
          <w:p w:rsidR="003865BE" w:rsidRDefault="003865BE" w:rsidP="000137B4"/>
          <w:p w:rsidR="003865BE" w:rsidRDefault="003865BE" w:rsidP="000137B4"/>
          <w:p w:rsidR="003865BE" w:rsidRDefault="003865BE" w:rsidP="000137B4"/>
          <w:p w:rsidR="003865BE" w:rsidRDefault="003865BE" w:rsidP="000137B4"/>
          <w:p w:rsidR="003865BE" w:rsidRDefault="003865BE" w:rsidP="000137B4">
            <w:r>
              <w:t>10 min</w:t>
            </w:r>
          </w:p>
        </w:tc>
        <w:tc>
          <w:tcPr>
            <w:tcW w:w="4820" w:type="dxa"/>
          </w:tcPr>
          <w:p w:rsidR="00AE2D3F" w:rsidRPr="007339F0" w:rsidRDefault="007339F0" w:rsidP="000137B4">
            <w:pPr>
              <w:rPr>
                <w:u w:val="single"/>
              </w:rPr>
            </w:pPr>
            <w:r w:rsidRPr="007339F0">
              <w:rPr>
                <w:u w:val="single"/>
              </w:rPr>
              <w:t>Schritt 1</w:t>
            </w:r>
          </w:p>
          <w:p w:rsidR="007339F0" w:rsidRDefault="003865BE" w:rsidP="000137B4">
            <w:r>
              <w:t xml:space="preserve">Die Gruppe teilt sich in kleine Untergruppen auf. </w:t>
            </w:r>
          </w:p>
          <w:p w:rsidR="003865BE" w:rsidRDefault="003865BE" w:rsidP="000137B4">
            <w:r>
              <w:t>Die Untergruppen erhalten die A6-Karten mit den Begriffen. Sie sprechen darüber, was sie jeweils unter einem Begriff verstehen und drehen die Karten dann um, um nachzulesen.</w:t>
            </w:r>
          </w:p>
          <w:p w:rsidR="003865BE" w:rsidRDefault="003865BE" w:rsidP="000137B4">
            <w:r>
              <w:t>Wahrscheinlich gibt es eine hohe Deckung zwischen eigenem Überlegen und Erklärung auf der Rückseite.</w:t>
            </w:r>
          </w:p>
          <w:p w:rsidR="003865BE" w:rsidRDefault="003865BE" w:rsidP="000137B4"/>
          <w:p w:rsidR="003865BE" w:rsidRDefault="003865BE" w:rsidP="000137B4">
            <w:r>
              <w:t>Anschließend offene Gesprächsrunde im Plenum</w:t>
            </w:r>
          </w:p>
          <w:p w:rsidR="007339F0" w:rsidRDefault="007339F0" w:rsidP="000137B4"/>
          <w:p w:rsidR="00185B82" w:rsidRDefault="00185B82" w:rsidP="000137B4"/>
        </w:tc>
        <w:tc>
          <w:tcPr>
            <w:tcW w:w="3172" w:type="dxa"/>
          </w:tcPr>
          <w:p w:rsidR="00AE2D3F" w:rsidRDefault="003865BE" w:rsidP="000137B4">
            <w:r>
              <w:t>A6-Karten zu den Begriffen</w:t>
            </w:r>
          </w:p>
        </w:tc>
      </w:tr>
      <w:tr w:rsidR="00AE2D3F" w:rsidTr="00B8143F">
        <w:tc>
          <w:tcPr>
            <w:tcW w:w="1928" w:type="dxa"/>
          </w:tcPr>
          <w:p w:rsidR="00AE2D3F" w:rsidRDefault="00B50CDE" w:rsidP="000137B4">
            <w:r>
              <w:lastRenderedPageBreak/>
              <w:t>40 min</w:t>
            </w:r>
          </w:p>
        </w:tc>
        <w:tc>
          <w:tcPr>
            <w:tcW w:w="4820" w:type="dxa"/>
          </w:tcPr>
          <w:p w:rsidR="00AE2D3F" w:rsidRPr="003865BE" w:rsidRDefault="003865BE" w:rsidP="000137B4">
            <w:pPr>
              <w:rPr>
                <w:u w:val="single"/>
              </w:rPr>
            </w:pPr>
            <w:r w:rsidRPr="003865BE">
              <w:rPr>
                <w:u w:val="single"/>
              </w:rPr>
              <w:t>Schritt 2</w:t>
            </w:r>
          </w:p>
          <w:p w:rsidR="003865BE" w:rsidRDefault="003865BE" w:rsidP="000137B4">
            <w:r>
              <w:t>Die fünf Handlungsorientierungen einer Sozialraumorientierung (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>) werden vorgestellt und jeder Untergruppe zur Verfügung gestellt.</w:t>
            </w:r>
          </w:p>
          <w:p w:rsidR="003865BE" w:rsidRDefault="003865BE" w:rsidP="000137B4">
            <w:r>
              <w:t xml:space="preserve">Diese überlegt, was diese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für eine Sozialraumpastoral bedeuten könnten.</w:t>
            </w:r>
          </w:p>
          <w:p w:rsidR="003865BE" w:rsidRDefault="003865BE" w:rsidP="000137B4"/>
          <w:p w:rsidR="003865BE" w:rsidRDefault="003865BE" w:rsidP="000137B4">
            <w:r>
              <w:t>Was bedeutet diese Handlungsorientierung in unserem kirchlichen Handeln?</w:t>
            </w:r>
          </w:p>
          <w:p w:rsidR="003865BE" w:rsidRDefault="003865BE" w:rsidP="000137B4">
            <w:r>
              <w:t>Welche Beispiele fallen uns dazu ein? (Beispiele, die es bei uns gibt oder die wir von anderen kennen oder uns ausdenken)</w:t>
            </w:r>
          </w:p>
          <w:p w:rsidR="003865BE" w:rsidRDefault="003865BE" w:rsidP="000137B4"/>
          <w:p w:rsidR="003865BE" w:rsidRDefault="003865BE" w:rsidP="000137B4">
            <w:r>
              <w:t xml:space="preserve">Für jede Übertragung einer Handlungsorientierung auf die Pastoral füllt die Untergruppe eine </w:t>
            </w:r>
            <w:proofErr w:type="spellStart"/>
            <w:r>
              <w:t>klebbare</w:t>
            </w:r>
            <w:proofErr w:type="spellEnd"/>
            <w:r>
              <w:t xml:space="preserve"> Moderationskarte aus.</w:t>
            </w:r>
          </w:p>
          <w:p w:rsidR="003865BE" w:rsidRDefault="003865BE" w:rsidP="000137B4"/>
          <w:p w:rsidR="003865BE" w:rsidRDefault="003865BE" w:rsidP="000137B4">
            <w:r>
              <w:t>Anschließend werden im Plenum die Ergebnisse an der Pinnwand zusammengetragen.</w:t>
            </w:r>
          </w:p>
          <w:p w:rsidR="003865BE" w:rsidRDefault="003865BE" w:rsidP="000137B4"/>
          <w:p w:rsidR="003865BE" w:rsidRDefault="003865BE" w:rsidP="000137B4">
            <w:r>
              <w:t>Die Leitung kann noch etwas dazulegen (siehe Handlungsorientierungen der Sozialraum- und Quartierspastoral bzw. 15 Gesichtspunkte einer Quartierspastoral</w:t>
            </w:r>
            <w:r w:rsidR="00185B82">
              <w:t>)</w:t>
            </w:r>
            <w:r>
              <w:t xml:space="preserve">. </w:t>
            </w:r>
          </w:p>
          <w:p w:rsidR="00AF0ABD" w:rsidRDefault="00AF0ABD" w:rsidP="000137B4"/>
          <w:p w:rsidR="00AF0ABD" w:rsidRDefault="00AF0ABD" w:rsidP="000137B4">
            <w:r>
              <w:t>Siehe auch</w:t>
            </w:r>
          </w:p>
          <w:p w:rsidR="00AF0ABD" w:rsidRDefault="00AF0ABD" w:rsidP="000137B4">
            <w:r>
              <w:t>Eckpunkte zur Sozialraumorientierung in der Caritasarbeit</w:t>
            </w:r>
            <w:r w:rsidR="00005F4E">
              <w:t xml:space="preserve"> (Material)</w:t>
            </w:r>
            <w:bookmarkStart w:id="0" w:name="_GoBack"/>
            <w:bookmarkEnd w:id="0"/>
          </w:p>
          <w:p w:rsidR="003865BE" w:rsidRDefault="003865BE" w:rsidP="000137B4"/>
        </w:tc>
        <w:tc>
          <w:tcPr>
            <w:tcW w:w="3172" w:type="dxa"/>
          </w:tcPr>
          <w:p w:rsidR="00AE2D3F" w:rsidRDefault="003865BE" w:rsidP="000137B4">
            <w:r>
              <w:t>A5-Karte mit den Handlungsorientierungen</w:t>
            </w:r>
          </w:p>
          <w:p w:rsidR="003865BE" w:rsidRDefault="003865BE" w:rsidP="000137B4">
            <w:proofErr w:type="spellStart"/>
            <w:r>
              <w:t>Klebbare</w:t>
            </w:r>
            <w:proofErr w:type="spellEnd"/>
            <w:r>
              <w:t xml:space="preserve"> Moderationskarten</w:t>
            </w:r>
          </w:p>
          <w:p w:rsidR="003865BE" w:rsidRDefault="003865BE" w:rsidP="000137B4">
            <w:r>
              <w:t>Stifte</w:t>
            </w:r>
          </w:p>
          <w:p w:rsidR="003865BE" w:rsidRDefault="003865BE" w:rsidP="000137B4"/>
          <w:p w:rsidR="003865BE" w:rsidRDefault="003865BE" w:rsidP="000137B4">
            <w:r>
              <w:t>Pinnwände</w:t>
            </w:r>
          </w:p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185B82" w:rsidP="000137B4"/>
          <w:p w:rsidR="00185B82" w:rsidRDefault="00D340C1" w:rsidP="000137B4">
            <w:r>
              <w:t>Zum Download unter</w:t>
            </w:r>
          </w:p>
          <w:p w:rsidR="00D340C1" w:rsidRDefault="00005F4E" w:rsidP="000137B4">
            <w:hyperlink r:id="rId10" w:history="1">
              <w:r w:rsidR="00D340C1" w:rsidRPr="00E0359E">
                <w:rPr>
                  <w:rStyle w:val="Hyperlink"/>
                </w:rPr>
                <w:t>https://www.an-vielen-orten.de/geht-weiter.html</w:t>
              </w:r>
            </w:hyperlink>
          </w:p>
          <w:p w:rsidR="00D340C1" w:rsidRDefault="00D340C1" w:rsidP="000137B4"/>
          <w:p w:rsidR="00185B82" w:rsidRDefault="00005F4E" w:rsidP="000137B4">
            <w:hyperlink r:id="rId11" w:history="1">
              <w:r w:rsidR="00D340C1" w:rsidRPr="00E0359E">
                <w:rPr>
                  <w:rStyle w:val="Hyperlink"/>
                </w:rPr>
                <w:t>https://www.an-vielen-orten.de/quartier.html</w:t>
              </w:r>
            </w:hyperlink>
          </w:p>
          <w:p w:rsidR="00D340C1" w:rsidRDefault="00D340C1" w:rsidP="000137B4"/>
        </w:tc>
      </w:tr>
      <w:tr w:rsidR="00AE2D3F" w:rsidTr="00B8143F">
        <w:tc>
          <w:tcPr>
            <w:tcW w:w="1928" w:type="dxa"/>
          </w:tcPr>
          <w:p w:rsidR="00AE2D3F" w:rsidRDefault="00B50CDE" w:rsidP="000137B4">
            <w:r>
              <w:t>20 min</w:t>
            </w:r>
          </w:p>
        </w:tc>
        <w:tc>
          <w:tcPr>
            <w:tcW w:w="4820" w:type="dxa"/>
          </w:tcPr>
          <w:p w:rsidR="00AE2D3F" w:rsidRPr="003865BE" w:rsidRDefault="003865BE" w:rsidP="000137B4">
            <w:pPr>
              <w:rPr>
                <w:u w:val="single"/>
              </w:rPr>
            </w:pPr>
            <w:r w:rsidRPr="003865BE">
              <w:rPr>
                <w:u w:val="single"/>
              </w:rPr>
              <w:t>Schritt 3</w:t>
            </w:r>
          </w:p>
          <w:p w:rsidR="003865BE" w:rsidRDefault="003865BE" w:rsidP="000137B4">
            <w:r>
              <w:t>Die Gruppe, der Kreis, das Gremium überlegen, was sie aus dem Erarbeiteten machen.</w:t>
            </w:r>
          </w:p>
          <w:p w:rsidR="003865BE" w:rsidRDefault="003865BE" w:rsidP="000137B4"/>
          <w:p w:rsidR="003865BE" w:rsidRDefault="003865BE" w:rsidP="003865BE">
            <w:pPr>
              <w:pStyle w:val="Listenabsatz"/>
              <w:numPr>
                <w:ilvl w:val="0"/>
                <w:numId w:val="4"/>
              </w:numPr>
            </w:pPr>
            <w:r>
              <w:t>Wollten wir uns informieren und lassen es jetzt erstmal sacken?</w:t>
            </w:r>
          </w:p>
          <w:p w:rsidR="003865BE" w:rsidRDefault="003865BE" w:rsidP="000137B4"/>
          <w:p w:rsidR="003865BE" w:rsidRDefault="003865BE" w:rsidP="003865BE">
            <w:pPr>
              <w:pStyle w:val="Listenabsatz"/>
              <w:numPr>
                <w:ilvl w:val="0"/>
                <w:numId w:val="4"/>
              </w:numPr>
            </w:pPr>
            <w:r>
              <w:t>Wollen wir daran weiterarbeiten und wenn ja, wie?</w:t>
            </w:r>
          </w:p>
          <w:p w:rsidR="003865BE" w:rsidRDefault="003865BE" w:rsidP="000137B4"/>
          <w:p w:rsidR="003865BE" w:rsidRDefault="003865BE" w:rsidP="000137B4">
            <w:r>
              <w:t>Im Fall B: Ein Gespräch über die mögliche Weiterarbeit folgt.</w:t>
            </w:r>
          </w:p>
          <w:p w:rsidR="00DF0E55" w:rsidRDefault="00DF0E55" w:rsidP="000137B4">
            <w:r>
              <w:t>Ideen werden zusammengetragen und Entscheidungen getroffen.</w:t>
            </w:r>
          </w:p>
          <w:p w:rsidR="00DF0E55" w:rsidRDefault="00DF0E55" w:rsidP="000137B4">
            <w:r>
              <w:t xml:space="preserve">Die Leitung kann weitere Ideen dazulegen, z.B. aus der midi </w:t>
            </w:r>
            <w:proofErr w:type="spellStart"/>
            <w:r>
              <w:t>Wir&amp;Hier</w:t>
            </w:r>
            <w:proofErr w:type="spellEnd"/>
            <w:r>
              <w:t xml:space="preserve"> Toolbox.</w:t>
            </w:r>
          </w:p>
          <w:p w:rsidR="00DF0E55" w:rsidRDefault="00DF0E55" w:rsidP="000137B4"/>
          <w:p w:rsidR="00DF0E55" w:rsidRDefault="00DF0E55" w:rsidP="000137B4">
            <w:r>
              <w:t>Möglich ist auch, jemanden einzuladen, der /die im Sozialraum beruflich oder ehrenamtlich engagiert ist, z.B. jemand von der Caritas, Caritas im Lebensraum.</w:t>
            </w:r>
          </w:p>
          <w:p w:rsidR="00DF0E55" w:rsidRDefault="00DF0E55" w:rsidP="000137B4"/>
          <w:p w:rsidR="00DF0E55" w:rsidRDefault="00DF0E55" w:rsidP="000137B4">
            <w:r>
              <w:lastRenderedPageBreak/>
              <w:t xml:space="preserve">Möglich ist auch, </w:t>
            </w:r>
            <w:proofErr w:type="spellStart"/>
            <w:r>
              <w:t>eine:n</w:t>
            </w:r>
            <w:proofErr w:type="spellEnd"/>
            <w:r>
              <w:t xml:space="preserve"> </w:t>
            </w:r>
            <w:proofErr w:type="spellStart"/>
            <w:r>
              <w:t>Quartiersseelsorger:in</w:t>
            </w:r>
            <w:proofErr w:type="spellEnd"/>
            <w:r>
              <w:t xml:space="preserve"> einzuladen  und zu hören, was sie erlebt.</w:t>
            </w:r>
          </w:p>
          <w:p w:rsidR="00DF0E55" w:rsidRDefault="00DF0E55" w:rsidP="000137B4"/>
          <w:p w:rsidR="00DF0E55" w:rsidRDefault="00DF0E55" w:rsidP="000137B4">
            <w:r>
              <w:t xml:space="preserve">Noch interessanter kann eine Exkursion in ein Quartier sein, um mit </w:t>
            </w:r>
            <w:proofErr w:type="spellStart"/>
            <w:r>
              <w:t>Bewohner:innen</w:t>
            </w:r>
            <w:proofErr w:type="spellEnd"/>
            <w:r>
              <w:t xml:space="preserve"> und </w:t>
            </w:r>
            <w:proofErr w:type="spellStart"/>
            <w:r>
              <w:t>Sozialarbeiter:innen</w:t>
            </w:r>
            <w:proofErr w:type="spellEnd"/>
            <w:r>
              <w:t xml:space="preserve"> und </w:t>
            </w:r>
            <w:proofErr w:type="spellStart"/>
            <w:r>
              <w:t>Quartiersmanager:innen</w:t>
            </w:r>
            <w:proofErr w:type="spellEnd"/>
            <w:r>
              <w:t xml:space="preserve"> und </w:t>
            </w:r>
            <w:proofErr w:type="spellStart"/>
            <w:r>
              <w:t>Seelsorger:innen</w:t>
            </w:r>
            <w:proofErr w:type="spellEnd"/>
            <w:r>
              <w:t xml:space="preserve"> ins Gespräch zu kommen.</w:t>
            </w:r>
          </w:p>
          <w:p w:rsidR="00DF0E55" w:rsidRDefault="00DF0E55" w:rsidP="000137B4"/>
          <w:p w:rsidR="003865BE" w:rsidRDefault="00DF0E55" w:rsidP="00DF0E55">
            <w:proofErr w:type="spellStart"/>
            <w:r>
              <w:t>Ansprechpartner:innen</w:t>
            </w:r>
            <w:proofErr w:type="spellEnd"/>
            <w:r>
              <w:t xml:space="preserve"> sind auch da die Caritas oder die Dekanatsgeschäftsstelle.  </w:t>
            </w:r>
          </w:p>
          <w:p w:rsidR="00DF0E55" w:rsidRDefault="00DF0E55" w:rsidP="00DF0E55"/>
        </w:tc>
        <w:tc>
          <w:tcPr>
            <w:tcW w:w="3172" w:type="dxa"/>
          </w:tcPr>
          <w:p w:rsidR="00AE2D3F" w:rsidRDefault="0003204F" w:rsidP="000137B4">
            <w:proofErr w:type="spellStart"/>
            <w:r>
              <w:lastRenderedPageBreak/>
              <w:t>Wir&amp;Hier</w:t>
            </w:r>
            <w:proofErr w:type="spellEnd"/>
            <w:r>
              <w:t xml:space="preserve"> Toolbox </w:t>
            </w:r>
          </w:p>
          <w:p w:rsidR="00D340C1" w:rsidRDefault="00D340C1" w:rsidP="000137B4">
            <w:r>
              <w:t>Zum Download unter</w:t>
            </w:r>
          </w:p>
          <w:p w:rsidR="00D340C1" w:rsidRDefault="00005F4E" w:rsidP="000137B4">
            <w:hyperlink r:id="rId12" w:history="1">
              <w:r w:rsidR="00D340C1" w:rsidRPr="00E0359E">
                <w:rPr>
                  <w:rStyle w:val="Hyperlink"/>
                </w:rPr>
                <w:t>https://www.an-vielen-orten.de/geht-weiter.html</w:t>
              </w:r>
            </w:hyperlink>
          </w:p>
          <w:p w:rsidR="00D340C1" w:rsidRDefault="00D340C1" w:rsidP="000137B4"/>
        </w:tc>
      </w:tr>
      <w:tr w:rsidR="00AE2D3F" w:rsidTr="00B8143F">
        <w:tc>
          <w:tcPr>
            <w:tcW w:w="1928" w:type="dxa"/>
          </w:tcPr>
          <w:p w:rsidR="00AE2D3F" w:rsidRDefault="00AE2D3F"/>
        </w:tc>
        <w:tc>
          <w:tcPr>
            <w:tcW w:w="4820" w:type="dxa"/>
          </w:tcPr>
          <w:p w:rsidR="00AE2D3F" w:rsidRDefault="00693774">
            <w:pPr>
              <w:rPr>
                <w:u w:val="single"/>
              </w:rPr>
            </w:pPr>
            <w:r w:rsidRPr="00693774">
              <w:rPr>
                <w:u w:val="single"/>
              </w:rPr>
              <w:t>Abschluss</w:t>
            </w:r>
          </w:p>
          <w:p w:rsidR="00693774" w:rsidRDefault="00693774">
            <w:r w:rsidRPr="00693774">
              <w:t>Mit einem Text</w:t>
            </w:r>
            <w:r>
              <w:t xml:space="preserve">, der vorgelesen oder am </w:t>
            </w:r>
            <w:proofErr w:type="spellStart"/>
            <w:r>
              <w:t>Beamer</w:t>
            </w:r>
            <w:proofErr w:type="spellEnd"/>
            <w:r>
              <w:t xml:space="preserve"> gezeigt wird</w:t>
            </w:r>
          </w:p>
          <w:p w:rsidR="00693774" w:rsidRDefault="00693774"/>
          <w:p w:rsidR="00196FA6" w:rsidRPr="00196FA6" w:rsidRDefault="00196FA6" w:rsidP="00196FA6">
            <w:r w:rsidRPr="00196FA6">
              <w:t>„Meine Pfarrei, das ist dieses ganze Gebiet, … alle Straßen, die es</w:t>
            </w:r>
          </w:p>
          <w:p w:rsidR="00196FA6" w:rsidRPr="00196FA6" w:rsidRDefault="00196FA6" w:rsidP="00196FA6">
            <w:r w:rsidRPr="00196FA6">
              <w:t>durchziehen, selbst der verlorene Pfad im unbebauten Ödland. Alle</w:t>
            </w:r>
          </w:p>
          <w:p w:rsidR="00196FA6" w:rsidRPr="00196FA6" w:rsidRDefault="00196FA6" w:rsidP="00196FA6">
            <w:r w:rsidRPr="00196FA6">
              <w:t>diese Häuser und Hütten, … bis hin zum ausrangierten Schleppkahn,</w:t>
            </w:r>
          </w:p>
          <w:p w:rsidR="00196FA6" w:rsidRPr="00196FA6" w:rsidRDefault="00196FA6" w:rsidP="00196FA6">
            <w:r w:rsidRPr="00196FA6">
              <w:t>der für immer am Ufer der Seine festgemacht ist. ‚Meine</w:t>
            </w:r>
          </w:p>
          <w:p w:rsidR="00196FA6" w:rsidRPr="00196FA6" w:rsidRDefault="00196FA6" w:rsidP="00196FA6">
            <w:r w:rsidRPr="00196FA6">
              <w:t>Pfarreimitglieder’, das sind ohne Ausnahme alle, die auf diesem</w:t>
            </w:r>
          </w:p>
          <w:p w:rsidR="00196FA6" w:rsidRPr="00196FA6" w:rsidRDefault="00196FA6" w:rsidP="00196FA6">
            <w:r w:rsidRPr="00196FA6">
              <w:t>Territorium wohnen … . Das Leben meiner Pfarrei ist … das religiöse</w:t>
            </w:r>
          </w:p>
          <w:p w:rsidR="00196FA6" w:rsidRPr="00196FA6" w:rsidRDefault="00196FA6" w:rsidP="00196FA6">
            <w:r w:rsidRPr="00196FA6">
              <w:t xml:space="preserve">Leben aller, die noch eines haben …, </w:t>
            </w:r>
          </w:p>
          <w:p w:rsidR="00196FA6" w:rsidRPr="00196FA6" w:rsidRDefault="00196FA6" w:rsidP="00196FA6">
            <w:r w:rsidRPr="00196FA6">
              <w:t>aber darüber hinaus ist es auch …</w:t>
            </w:r>
          </w:p>
          <w:p w:rsidR="00196FA6" w:rsidRPr="00196FA6" w:rsidRDefault="00196FA6" w:rsidP="00196FA6">
            <w:r w:rsidRPr="00196FA6">
              <w:t>das Leben aller anderen Menschen,</w:t>
            </w:r>
          </w:p>
          <w:p w:rsidR="00196FA6" w:rsidRPr="00196FA6" w:rsidRDefault="00196FA6" w:rsidP="00196FA6">
            <w:r w:rsidRPr="00196FA6">
              <w:t xml:space="preserve"> … ihr Leben im Quartier, </w:t>
            </w:r>
          </w:p>
          <w:p w:rsidR="00196FA6" w:rsidRPr="00196FA6" w:rsidRDefault="00196FA6" w:rsidP="00196FA6">
            <w:r w:rsidRPr="00196FA6">
              <w:t>Ihr Kommen und Gehen.“</w:t>
            </w:r>
          </w:p>
          <w:p w:rsidR="00196FA6" w:rsidRPr="00196FA6" w:rsidRDefault="00196FA6" w:rsidP="00196FA6">
            <w:r w:rsidRPr="00196FA6">
              <w:rPr>
                <w:i/>
                <w:iCs/>
                <w:lang w:val="fr-FR"/>
              </w:rPr>
              <w:t xml:space="preserve">Abbé </w:t>
            </w:r>
            <w:proofErr w:type="spellStart"/>
            <w:r w:rsidRPr="00196FA6">
              <w:rPr>
                <w:i/>
                <w:iCs/>
                <w:lang w:val="fr-FR"/>
              </w:rPr>
              <w:t>Michonneau</w:t>
            </w:r>
            <w:proofErr w:type="spellEnd"/>
            <w:r w:rsidRPr="00196FA6">
              <w:rPr>
                <w:i/>
                <w:iCs/>
                <w:lang w:val="fr-FR"/>
              </w:rPr>
              <w:t>,</w:t>
            </w:r>
          </w:p>
          <w:p w:rsidR="00196FA6" w:rsidRPr="00196FA6" w:rsidRDefault="00196FA6" w:rsidP="00196FA6">
            <w:r w:rsidRPr="00196FA6">
              <w:rPr>
                <w:i/>
                <w:iCs/>
              </w:rPr>
              <w:t>Missionarische Pfarrei in Paris</w:t>
            </w:r>
          </w:p>
          <w:p w:rsidR="00693774" w:rsidRPr="00693774" w:rsidRDefault="00693774"/>
        </w:tc>
        <w:tc>
          <w:tcPr>
            <w:tcW w:w="3172" w:type="dxa"/>
          </w:tcPr>
          <w:p w:rsidR="00AE2D3F" w:rsidRDefault="00B50CDE">
            <w:r>
              <w:t>Evtl. Folie</w:t>
            </w:r>
          </w:p>
        </w:tc>
      </w:tr>
    </w:tbl>
    <w:p w:rsidR="00AE2D3F" w:rsidRDefault="00AE2D3F"/>
    <w:p w:rsidR="00AE2D3F" w:rsidRDefault="00AE2D3F"/>
    <w:sectPr w:rsidR="00AE2D3F" w:rsidSect="009A01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0E" w:rsidRDefault="00A0340E" w:rsidP="00B8143F">
      <w:pPr>
        <w:spacing w:line="240" w:lineRule="auto"/>
      </w:pPr>
      <w:r>
        <w:separator/>
      </w:r>
    </w:p>
  </w:endnote>
  <w:endnote w:type="continuationSeparator" w:id="0">
    <w:p w:rsidR="00A0340E" w:rsidRDefault="00A0340E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9613"/>
      <w:docPartObj>
        <w:docPartGallery w:val="Page Numbers (Bottom of Page)"/>
        <w:docPartUnique/>
      </w:docPartObj>
    </w:sdtPr>
    <w:sdtEndPr/>
    <w:sdtContent>
      <w:p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4E">
          <w:rPr>
            <w:noProof/>
          </w:rPr>
          <w:t>2</w:t>
        </w:r>
        <w:r>
          <w:fldChar w:fldCharType="end"/>
        </w:r>
      </w:p>
    </w:sdtContent>
  </w:sdt>
  <w:p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0E" w:rsidRDefault="00A0340E" w:rsidP="00B8143F">
      <w:pPr>
        <w:spacing w:line="240" w:lineRule="auto"/>
      </w:pPr>
      <w:r>
        <w:separator/>
      </w:r>
    </w:p>
  </w:footnote>
  <w:footnote w:type="continuationSeparator" w:id="0">
    <w:p w:rsidR="00A0340E" w:rsidRDefault="00A0340E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2897"/>
    <w:multiLevelType w:val="hybridMultilevel"/>
    <w:tmpl w:val="59A68790"/>
    <w:lvl w:ilvl="0" w:tplc="61C4F0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7750"/>
    <w:multiLevelType w:val="hybridMultilevel"/>
    <w:tmpl w:val="35DA3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57D9A"/>
    <w:multiLevelType w:val="hybridMultilevel"/>
    <w:tmpl w:val="8A06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F"/>
    <w:rsid w:val="00005F4E"/>
    <w:rsid w:val="0000645F"/>
    <w:rsid w:val="00014755"/>
    <w:rsid w:val="0003204F"/>
    <w:rsid w:val="00045A46"/>
    <w:rsid w:val="00074CDD"/>
    <w:rsid w:val="000D680C"/>
    <w:rsid w:val="000E3889"/>
    <w:rsid w:val="000F7A94"/>
    <w:rsid w:val="00130685"/>
    <w:rsid w:val="0018479D"/>
    <w:rsid w:val="00185B82"/>
    <w:rsid w:val="00196FA6"/>
    <w:rsid w:val="001F0008"/>
    <w:rsid w:val="001F2CA8"/>
    <w:rsid w:val="00320CA5"/>
    <w:rsid w:val="003865BE"/>
    <w:rsid w:val="004123E3"/>
    <w:rsid w:val="00627323"/>
    <w:rsid w:val="006814D6"/>
    <w:rsid w:val="00693774"/>
    <w:rsid w:val="007339F0"/>
    <w:rsid w:val="007620BC"/>
    <w:rsid w:val="0079502E"/>
    <w:rsid w:val="008B0367"/>
    <w:rsid w:val="009A0165"/>
    <w:rsid w:val="00A0340E"/>
    <w:rsid w:val="00AE2D3F"/>
    <w:rsid w:val="00AF0ABD"/>
    <w:rsid w:val="00B50CDE"/>
    <w:rsid w:val="00B544FC"/>
    <w:rsid w:val="00B5730B"/>
    <w:rsid w:val="00B8143F"/>
    <w:rsid w:val="00BC431F"/>
    <w:rsid w:val="00C03306"/>
    <w:rsid w:val="00C3631F"/>
    <w:rsid w:val="00C721FB"/>
    <w:rsid w:val="00D103C4"/>
    <w:rsid w:val="00D340C1"/>
    <w:rsid w:val="00D515E8"/>
    <w:rsid w:val="00D870F7"/>
    <w:rsid w:val="00DF0E55"/>
    <w:rsid w:val="00E97C7F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n-vielen-orten.de/geht-weiter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-vielen-orten.de/quarti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n-vielen-orten.de/geht-weiter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51A1-7F5D-4D51-878D-B31D7351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85812D2C.dotm</Template>
  <TotalTime>0</TotalTime>
  <Pages>3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Dr. Christiane Bundschuh-Schramm</cp:lastModifiedBy>
  <cp:revision>11</cp:revision>
  <dcterms:created xsi:type="dcterms:W3CDTF">2023-07-26T13:52:00Z</dcterms:created>
  <dcterms:modified xsi:type="dcterms:W3CDTF">2023-09-14T15:00:00Z</dcterms:modified>
</cp:coreProperties>
</file>